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B594B3" w14:textId="612A433C" w:rsidR="00FC3EAA" w:rsidRPr="00FC3EAA" w:rsidRDefault="00850E0D" w:rsidP="00FC3EAA">
      <w:pPr>
        <w:jc w:val="right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>En Temuco, a ____ de</w:t>
      </w:r>
      <w:r w:rsidR="00FC3EAA" w:rsidRPr="00FC3EAA">
        <w:rPr>
          <w:rFonts w:ascii="Arial" w:hAnsi="Arial" w:cs="Arial"/>
        </w:rPr>
        <w:t>___</w:t>
      </w:r>
      <w:r>
        <w:rPr>
          <w:rFonts w:ascii="Arial" w:hAnsi="Arial" w:cs="Arial"/>
        </w:rPr>
        <w:t>______</w:t>
      </w:r>
      <w:r w:rsidR="00FC3EAA" w:rsidRPr="00FC3EAA">
        <w:rPr>
          <w:rFonts w:ascii="Arial" w:hAnsi="Arial" w:cs="Arial"/>
        </w:rPr>
        <w:t>_</w:t>
      </w:r>
      <w:r>
        <w:rPr>
          <w:rFonts w:ascii="Arial" w:hAnsi="Arial" w:cs="Arial"/>
        </w:rPr>
        <w:t xml:space="preserve">de </w:t>
      </w:r>
      <w:r w:rsidR="00FC3EAA" w:rsidRPr="00FC3EAA">
        <w:rPr>
          <w:rFonts w:ascii="Arial" w:hAnsi="Arial" w:cs="Arial"/>
        </w:rPr>
        <w:t>2025.</w:t>
      </w:r>
    </w:p>
    <w:p w14:paraId="5C9F383D" w14:textId="366A40AF" w:rsidR="00FC3EAA" w:rsidRDefault="00FC3EAA" w:rsidP="001324F7">
      <w:pPr>
        <w:jc w:val="center"/>
        <w:rPr>
          <w:rFonts w:ascii="Arial" w:hAnsi="Arial" w:cs="Arial"/>
          <w:b/>
          <w:bCs/>
        </w:rPr>
      </w:pPr>
    </w:p>
    <w:p w14:paraId="2540440E" w14:textId="77777777" w:rsidR="00850E0D" w:rsidRDefault="00850E0D" w:rsidP="001324F7">
      <w:pPr>
        <w:jc w:val="center"/>
        <w:rPr>
          <w:rFonts w:ascii="Arial" w:hAnsi="Arial" w:cs="Arial"/>
          <w:b/>
          <w:bCs/>
        </w:rPr>
      </w:pPr>
    </w:p>
    <w:p w14:paraId="791A70A4" w14:textId="50330754" w:rsidR="00361714" w:rsidRPr="00361714" w:rsidRDefault="001324F7" w:rsidP="001324F7">
      <w:pPr>
        <w:jc w:val="center"/>
        <w:rPr>
          <w:rFonts w:ascii="Arial" w:hAnsi="Arial" w:cs="Arial"/>
          <w:b/>
          <w:bCs/>
        </w:rPr>
      </w:pPr>
      <w:r w:rsidRPr="001324F7">
        <w:rPr>
          <w:rFonts w:ascii="Arial" w:hAnsi="Arial" w:cs="Arial"/>
          <w:b/>
          <w:bCs/>
        </w:rPr>
        <w:t>C</w:t>
      </w:r>
      <w:r w:rsidR="00850E0D">
        <w:rPr>
          <w:rFonts w:ascii="Arial" w:hAnsi="Arial" w:cs="Arial"/>
          <w:b/>
          <w:bCs/>
        </w:rPr>
        <w:t xml:space="preserve"> </w:t>
      </w:r>
      <w:r w:rsidRPr="001324F7">
        <w:rPr>
          <w:rFonts w:ascii="Arial" w:hAnsi="Arial" w:cs="Arial"/>
          <w:b/>
          <w:bCs/>
        </w:rPr>
        <w:t>E</w:t>
      </w:r>
      <w:r w:rsidR="00850E0D">
        <w:rPr>
          <w:rFonts w:ascii="Arial" w:hAnsi="Arial" w:cs="Arial"/>
          <w:b/>
          <w:bCs/>
        </w:rPr>
        <w:t xml:space="preserve"> </w:t>
      </w:r>
      <w:r w:rsidRPr="001324F7">
        <w:rPr>
          <w:rFonts w:ascii="Arial" w:hAnsi="Arial" w:cs="Arial"/>
          <w:b/>
          <w:bCs/>
        </w:rPr>
        <w:t>R</w:t>
      </w:r>
      <w:r w:rsidR="00850E0D">
        <w:rPr>
          <w:rFonts w:ascii="Arial" w:hAnsi="Arial" w:cs="Arial"/>
          <w:b/>
          <w:bCs/>
        </w:rPr>
        <w:t xml:space="preserve"> </w:t>
      </w:r>
      <w:r w:rsidRPr="001324F7">
        <w:rPr>
          <w:rFonts w:ascii="Arial" w:hAnsi="Arial" w:cs="Arial"/>
          <w:b/>
          <w:bCs/>
        </w:rPr>
        <w:t>T</w:t>
      </w:r>
      <w:r w:rsidR="00850E0D">
        <w:rPr>
          <w:rFonts w:ascii="Arial" w:hAnsi="Arial" w:cs="Arial"/>
          <w:b/>
          <w:bCs/>
        </w:rPr>
        <w:t xml:space="preserve"> </w:t>
      </w:r>
      <w:r w:rsidRPr="001324F7">
        <w:rPr>
          <w:rFonts w:ascii="Arial" w:hAnsi="Arial" w:cs="Arial"/>
          <w:b/>
          <w:bCs/>
        </w:rPr>
        <w:t>I</w:t>
      </w:r>
      <w:r w:rsidR="00850E0D">
        <w:rPr>
          <w:rFonts w:ascii="Arial" w:hAnsi="Arial" w:cs="Arial"/>
          <w:b/>
          <w:bCs/>
        </w:rPr>
        <w:t xml:space="preserve"> </w:t>
      </w:r>
      <w:r w:rsidRPr="001324F7">
        <w:rPr>
          <w:rFonts w:ascii="Arial" w:hAnsi="Arial" w:cs="Arial"/>
          <w:b/>
          <w:bCs/>
        </w:rPr>
        <w:t>F</w:t>
      </w:r>
      <w:r w:rsidR="00850E0D">
        <w:rPr>
          <w:rFonts w:ascii="Arial" w:hAnsi="Arial" w:cs="Arial"/>
          <w:b/>
          <w:bCs/>
        </w:rPr>
        <w:t xml:space="preserve"> </w:t>
      </w:r>
      <w:r w:rsidRPr="001324F7">
        <w:rPr>
          <w:rFonts w:ascii="Arial" w:hAnsi="Arial" w:cs="Arial"/>
          <w:b/>
          <w:bCs/>
        </w:rPr>
        <w:t>I</w:t>
      </w:r>
      <w:r w:rsidR="00850E0D">
        <w:rPr>
          <w:rFonts w:ascii="Arial" w:hAnsi="Arial" w:cs="Arial"/>
          <w:b/>
          <w:bCs/>
        </w:rPr>
        <w:t xml:space="preserve"> </w:t>
      </w:r>
      <w:r w:rsidRPr="001324F7">
        <w:rPr>
          <w:rFonts w:ascii="Arial" w:hAnsi="Arial" w:cs="Arial"/>
          <w:b/>
          <w:bCs/>
        </w:rPr>
        <w:t>C</w:t>
      </w:r>
      <w:r w:rsidR="00850E0D">
        <w:rPr>
          <w:rFonts w:ascii="Arial" w:hAnsi="Arial" w:cs="Arial"/>
          <w:b/>
          <w:bCs/>
        </w:rPr>
        <w:t xml:space="preserve"> </w:t>
      </w:r>
      <w:r w:rsidRPr="001324F7">
        <w:rPr>
          <w:rFonts w:ascii="Arial" w:hAnsi="Arial" w:cs="Arial"/>
          <w:b/>
          <w:bCs/>
        </w:rPr>
        <w:t>A</w:t>
      </w:r>
      <w:r w:rsidR="00850E0D">
        <w:rPr>
          <w:rFonts w:ascii="Arial" w:hAnsi="Arial" w:cs="Arial"/>
          <w:b/>
          <w:bCs/>
        </w:rPr>
        <w:t xml:space="preserve"> </w:t>
      </w:r>
      <w:r w:rsidRPr="001324F7">
        <w:rPr>
          <w:rFonts w:ascii="Arial" w:hAnsi="Arial" w:cs="Arial"/>
          <w:b/>
          <w:bCs/>
        </w:rPr>
        <w:t>D</w:t>
      </w:r>
      <w:r w:rsidR="00850E0D">
        <w:rPr>
          <w:rFonts w:ascii="Arial" w:hAnsi="Arial" w:cs="Arial"/>
          <w:b/>
          <w:bCs/>
        </w:rPr>
        <w:t xml:space="preserve"> </w:t>
      </w:r>
      <w:r w:rsidRPr="001324F7">
        <w:rPr>
          <w:rFonts w:ascii="Arial" w:hAnsi="Arial" w:cs="Arial"/>
          <w:b/>
          <w:bCs/>
        </w:rPr>
        <w:t>O</w:t>
      </w:r>
    </w:p>
    <w:p w14:paraId="58DC9B1E" w14:textId="77777777" w:rsidR="001324F7" w:rsidRDefault="001324F7" w:rsidP="001324F7">
      <w:pPr>
        <w:rPr>
          <w:rFonts w:ascii="Arial" w:hAnsi="Arial" w:cs="Arial"/>
        </w:rPr>
      </w:pPr>
    </w:p>
    <w:p w14:paraId="600F92A3" w14:textId="010AA181" w:rsidR="001324F7" w:rsidRDefault="00FC3EAA" w:rsidP="00FC3EAA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De acuerdo con</w:t>
      </w:r>
      <w:r w:rsidR="001324F7">
        <w:rPr>
          <w:rFonts w:ascii="Arial" w:hAnsi="Arial" w:cs="Arial"/>
        </w:rPr>
        <w:t xml:space="preserve"> lo indicado en </w:t>
      </w:r>
      <w:r w:rsidR="001324F7" w:rsidRPr="001324F7">
        <w:rPr>
          <w:rFonts w:ascii="Arial" w:hAnsi="Arial" w:cs="Arial"/>
        </w:rPr>
        <w:t>Ley 21</w:t>
      </w:r>
      <w:r w:rsidR="00850E0D">
        <w:rPr>
          <w:rFonts w:ascii="Arial" w:hAnsi="Arial" w:cs="Arial"/>
        </w:rPr>
        <w:t>.</w:t>
      </w:r>
      <w:r w:rsidR="001324F7" w:rsidRPr="001324F7">
        <w:rPr>
          <w:rFonts w:ascii="Arial" w:hAnsi="Arial" w:cs="Arial"/>
        </w:rPr>
        <w:t xml:space="preserve">634 </w:t>
      </w:r>
      <w:r w:rsidR="001324F7">
        <w:rPr>
          <w:rFonts w:ascii="Arial" w:hAnsi="Arial" w:cs="Arial"/>
        </w:rPr>
        <w:t xml:space="preserve">que </w:t>
      </w:r>
      <w:r w:rsidR="00850E0D">
        <w:rPr>
          <w:rFonts w:ascii="Arial" w:hAnsi="Arial" w:cs="Arial"/>
        </w:rPr>
        <w:t>m</w:t>
      </w:r>
      <w:r w:rsidR="001324F7" w:rsidRPr="001324F7">
        <w:rPr>
          <w:rFonts w:ascii="Arial" w:hAnsi="Arial" w:cs="Arial"/>
        </w:rPr>
        <w:t>oderniza la Ley 19.886 y otras leyes</w:t>
      </w:r>
      <w:r w:rsidR="00EC331F">
        <w:rPr>
          <w:rFonts w:ascii="Arial" w:hAnsi="Arial" w:cs="Arial"/>
        </w:rPr>
        <w:t>, en su Art. 35 bis, indica que</w:t>
      </w:r>
      <w:r>
        <w:rPr>
          <w:rFonts w:ascii="Arial" w:hAnsi="Arial" w:cs="Arial"/>
        </w:rPr>
        <w:t>: “</w:t>
      </w:r>
      <w:r w:rsidRPr="00FC3EAA">
        <w:rPr>
          <w:rFonts w:ascii="Arial" w:hAnsi="Arial" w:cs="Arial"/>
          <w:i/>
          <w:iCs/>
        </w:rPr>
        <w:t>Previo al inicio de cualquier procedimiento de contratación pública, el organismo del Estado estará obligado a consultar el Catálogo de Convenio Marco antes de llamar a una Licitación Pública, Licitación Privada, Trato Directo o Contratación Excepcional Directa con Publicidad u otro procedimiento especial de contratación.”</w:t>
      </w:r>
    </w:p>
    <w:p w14:paraId="59D26101" w14:textId="0E498B1B" w:rsidR="00361714" w:rsidRDefault="00FC3EAA" w:rsidP="00FC3EAA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Por lo anterior</w:t>
      </w:r>
      <w:r w:rsidR="00850E0D">
        <w:rPr>
          <w:rFonts w:ascii="Arial" w:hAnsi="Arial" w:cs="Arial"/>
        </w:rPr>
        <w:t>mente</w:t>
      </w:r>
      <w:r>
        <w:rPr>
          <w:rFonts w:ascii="Arial" w:hAnsi="Arial" w:cs="Arial"/>
        </w:rPr>
        <w:t xml:space="preserve"> señalado, y en consideración a que l</w:t>
      </w:r>
      <w:r w:rsidR="00361714" w:rsidRPr="00361714">
        <w:rPr>
          <w:rFonts w:ascii="Arial" w:hAnsi="Arial" w:cs="Arial"/>
        </w:rPr>
        <w:t>os convenios marco s</w:t>
      </w:r>
      <w:r>
        <w:rPr>
          <w:rFonts w:ascii="Arial" w:hAnsi="Arial" w:cs="Arial"/>
        </w:rPr>
        <w:t>o</w:t>
      </w:r>
      <w:r w:rsidR="00361714" w:rsidRPr="00361714">
        <w:rPr>
          <w:rFonts w:ascii="Arial" w:hAnsi="Arial" w:cs="Arial"/>
        </w:rPr>
        <w:t>n el procedimiento prioritario de compra para montos superiores a 100 UTM</w:t>
      </w:r>
      <w:r>
        <w:rPr>
          <w:rFonts w:ascii="Arial" w:hAnsi="Arial" w:cs="Arial"/>
        </w:rPr>
        <w:t>, esta Unidad Técnica manifiesta que revisó el Catálogo de Convenio Marco, no obstante, no se encontró disponibilidad para la adquisición de:</w:t>
      </w:r>
      <w:r w:rsidR="00850E0D">
        <w:rPr>
          <w:rFonts w:ascii="Arial" w:hAnsi="Arial" w:cs="Arial"/>
        </w:rPr>
        <w:t>___________________________________________</w:t>
      </w:r>
      <w:r>
        <w:rPr>
          <w:rFonts w:ascii="Arial" w:hAnsi="Arial" w:cs="Arial"/>
        </w:rPr>
        <w:t xml:space="preserve"> ___________________________________</w:t>
      </w:r>
      <w:r w:rsidR="00850E0D">
        <w:rPr>
          <w:rFonts w:ascii="Arial" w:hAnsi="Arial" w:cs="Arial"/>
        </w:rPr>
        <w:t>______</w:t>
      </w:r>
      <w:r>
        <w:rPr>
          <w:rFonts w:ascii="Arial" w:hAnsi="Arial" w:cs="Arial"/>
        </w:rPr>
        <w:t>_____</w:t>
      </w:r>
      <w:r w:rsidR="00850E0D">
        <w:rPr>
          <w:rFonts w:ascii="Arial" w:hAnsi="Arial" w:cs="Arial"/>
        </w:rPr>
        <w:t>____</w:t>
      </w:r>
      <w:r>
        <w:rPr>
          <w:rFonts w:ascii="Arial" w:hAnsi="Arial" w:cs="Arial"/>
        </w:rPr>
        <w:t>________, debido a que se requiere:______________________________________________________________________________________________________________________________________.</w:t>
      </w:r>
    </w:p>
    <w:p w14:paraId="3A38A8AA" w14:textId="3743244D" w:rsidR="00FC3EAA" w:rsidRDefault="00FC3EAA" w:rsidP="00FC3EAA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Por tal motivo, se solicita realizar una Licitación Pública.</w:t>
      </w:r>
    </w:p>
    <w:p w14:paraId="62D17A8F" w14:textId="77777777" w:rsidR="00FC3EAA" w:rsidRDefault="00FC3EAA" w:rsidP="00FC3EAA">
      <w:pPr>
        <w:jc w:val="both"/>
        <w:rPr>
          <w:rFonts w:ascii="Arial" w:hAnsi="Arial" w:cs="Arial"/>
        </w:rPr>
      </w:pPr>
    </w:p>
    <w:p w14:paraId="56006F03" w14:textId="77777777" w:rsidR="00FC3EAA" w:rsidRDefault="00FC3EAA" w:rsidP="00FC3EAA">
      <w:pPr>
        <w:jc w:val="both"/>
        <w:rPr>
          <w:rFonts w:ascii="Arial" w:hAnsi="Arial" w:cs="Arial"/>
        </w:rPr>
      </w:pPr>
    </w:p>
    <w:p w14:paraId="133AEC41" w14:textId="09E9C699" w:rsidR="00FC3EAA" w:rsidRDefault="00FC3EAA" w:rsidP="00FC3EAA">
      <w:pPr>
        <w:rPr>
          <w:rFonts w:ascii="Arial" w:hAnsi="Arial" w:cs="Arial"/>
        </w:rPr>
      </w:pPr>
      <w:r>
        <w:rPr>
          <w:rFonts w:ascii="Arial" w:hAnsi="Arial" w:cs="Arial"/>
        </w:rPr>
        <w:t>Atte.;</w:t>
      </w:r>
    </w:p>
    <w:p w14:paraId="598A30AA" w14:textId="77777777" w:rsidR="00FC3EAA" w:rsidRDefault="00FC3EAA" w:rsidP="00FC3EAA">
      <w:pPr>
        <w:rPr>
          <w:rFonts w:ascii="Arial" w:hAnsi="Arial" w:cs="Arial"/>
        </w:rPr>
      </w:pPr>
    </w:p>
    <w:p w14:paraId="4DAA5B39" w14:textId="5C2455EA" w:rsidR="00FC3EAA" w:rsidRDefault="00FC3EAA" w:rsidP="00FC3EAA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</w:t>
      </w:r>
    </w:p>
    <w:p w14:paraId="2ED852A9" w14:textId="1E9DF9F5" w:rsidR="00FC3EAA" w:rsidRDefault="00FC3EAA" w:rsidP="00FC3EAA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(Nombre Responsable</w:t>
      </w:r>
      <w:r w:rsidR="00850E0D">
        <w:rPr>
          <w:rFonts w:ascii="Arial" w:hAnsi="Arial" w:cs="Arial"/>
        </w:rPr>
        <w:t>, RUT, Cargo, Departamento, Dirección</w:t>
      </w:r>
      <w:r>
        <w:rPr>
          <w:rFonts w:ascii="Arial" w:hAnsi="Arial" w:cs="Arial"/>
        </w:rPr>
        <w:t>)</w:t>
      </w:r>
    </w:p>
    <w:p w14:paraId="46C60FF7" w14:textId="77777777" w:rsidR="00FC3EAA" w:rsidRPr="00361714" w:rsidRDefault="00FC3EAA" w:rsidP="00FC3EAA">
      <w:pPr>
        <w:rPr>
          <w:rFonts w:ascii="Arial" w:hAnsi="Arial" w:cs="Arial"/>
        </w:rPr>
      </w:pPr>
    </w:p>
    <w:p w14:paraId="14756330" w14:textId="77777777" w:rsidR="0033066B" w:rsidRPr="001324F7" w:rsidRDefault="0033066B">
      <w:pPr>
        <w:rPr>
          <w:rFonts w:ascii="Arial" w:hAnsi="Arial" w:cs="Arial"/>
        </w:rPr>
      </w:pPr>
    </w:p>
    <w:sectPr w:rsidR="0033066B" w:rsidRPr="001324F7" w:rsidSect="006C3A72">
      <w:pgSz w:w="12240" w:h="18720" w:code="14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Bahnschrift Light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Bahnschrift Light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0C3DBC"/>
    <w:multiLevelType w:val="multilevel"/>
    <w:tmpl w:val="15EA3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714"/>
    <w:rsid w:val="001324F7"/>
    <w:rsid w:val="002F0B3C"/>
    <w:rsid w:val="003244FE"/>
    <w:rsid w:val="0033066B"/>
    <w:rsid w:val="00361714"/>
    <w:rsid w:val="005A233B"/>
    <w:rsid w:val="006C3A72"/>
    <w:rsid w:val="00850E0D"/>
    <w:rsid w:val="00905D54"/>
    <w:rsid w:val="00BA597A"/>
    <w:rsid w:val="00DA7075"/>
    <w:rsid w:val="00DE6597"/>
    <w:rsid w:val="00EC331F"/>
    <w:rsid w:val="00EC6AD5"/>
    <w:rsid w:val="00FC3EAA"/>
    <w:rsid w:val="00FC6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3B163"/>
  <w15:chartTrackingRefBased/>
  <w15:docId w15:val="{00D88770-9F63-4AAA-948A-19BE304E6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617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617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61714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617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61714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617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617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617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617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61714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6171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61714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61714"/>
    <w:rPr>
      <w:rFonts w:eastAsiaTheme="majorEastAsia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61714"/>
    <w:rPr>
      <w:rFonts w:eastAsiaTheme="majorEastAsia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6171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6171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6171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6171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617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617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617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617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617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6171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6171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61714"/>
    <w:rPr>
      <w:i/>
      <w:iCs/>
      <w:color w:val="2E74B5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61714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61714"/>
    <w:rPr>
      <w:i/>
      <w:iCs/>
      <w:color w:val="2E74B5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61714"/>
    <w:rPr>
      <w:b/>
      <w:bCs/>
      <w:smallCaps/>
      <w:color w:val="2E74B5" w:themeColor="accent1" w:themeShade="BF"/>
      <w:spacing w:val="5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0E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0E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557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32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65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941787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504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74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13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88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72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708351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55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21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Niñez</dc:creator>
  <cp:keywords/>
  <dc:description/>
  <cp:lastModifiedBy>Hardy Rafael Medel Leiva </cp:lastModifiedBy>
  <cp:revision>2</cp:revision>
  <cp:lastPrinted>2025-01-06T13:29:00Z</cp:lastPrinted>
  <dcterms:created xsi:type="dcterms:W3CDTF">2025-02-01T18:08:00Z</dcterms:created>
  <dcterms:modified xsi:type="dcterms:W3CDTF">2025-02-01T18:08:00Z</dcterms:modified>
</cp:coreProperties>
</file>